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5700" w14:textId="77777777" w:rsidR="00EC520A" w:rsidRPr="00EC520A" w:rsidRDefault="00EC520A" w:rsidP="000D27AF">
      <w:pPr>
        <w:jc w:val="center"/>
        <w:rPr>
          <w:rFonts w:asciiTheme="majorHAnsi" w:hAnsiTheme="majorHAnsi" w:cstheme="majorHAnsi"/>
        </w:rPr>
      </w:pPr>
    </w:p>
    <w:p w14:paraId="61EA9342" w14:textId="77777777"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Résumé des normes et modalités d’évaluation des apprentissages</w:t>
      </w:r>
    </w:p>
    <w:p w14:paraId="7F203944" w14:textId="2E66AEEB"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Année scolaire 202</w:t>
      </w:r>
      <w:r w:rsidR="00341EAF">
        <w:rPr>
          <w:rFonts w:asciiTheme="majorHAnsi" w:hAnsiTheme="majorHAnsi" w:cstheme="majorHAnsi"/>
          <w:sz w:val="40"/>
        </w:rPr>
        <w:t>4</w:t>
      </w:r>
      <w:r w:rsidRPr="00EC520A">
        <w:rPr>
          <w:rFonts w:asciiTheme="majorHAnsi" w:hAnsiTheme="majorHAnsi" w:cstheme="majorHAnsi"/>
          <w:sz w:val="40"/>
        </w:rPr>
        <w:t>-202</w:t>
      </w:r>
      <w:r w:rsidR="00341EAF">
        <w:rPr>
          <w:rFonts w:asciiTheme="majorHAnsi" w:hAnsiTheme="majorHAnsi" w:cstheme="majorHAnsi"/>
          <w:sz w:val="40"/>
        </w:rPr>
        <w:t>5</w:t>
      </w:r>
    </w:p>
    <w:p w14:paraId="1241F44B" w14:textId="77777777" w:rsidR="00EC520A" w:rsidRPr="00EC520A" w:rsidRDefault="00EC520A" w:rsidP="000D27AF">
      <w:pPr>
        <w:jc w:val="center"/>
        <w:rPr>
          <w:rFonts w:asciiTheme="majorHAnsi" w:hAnsiTheme="majorHAnsi" w:cstheme="majorHAnsi"/>
        </w:rPr>
      </w:pPr>
    </w:p>
    <w:p w14:paraId="0745AE34" w14:textId="77777777" w:rsidR="00EC520A" w:rsidRPr="00EC520A" w:rsidRDefault="00EC520A" w:rsidP="000D27AF">
      <w:pPr>
        <w:jc w:val="center"/>
        <w:rPr>
          <w:rFonts w:asciiTheme="majorHAnsi" w:hAnsiTheme="majorHAnsi" w:cstheme="majorHAnsi"/>
          <w:b/>
          <w:sz w:val="32"/>
        </w:rPr>
      </w:pPr>
      <w:r w:rsidRPr="00EC520A">
        <w:rPr>
          <w:rFonts w:asciiTheme="majorHAnsi" w:hAnsiTheme="majorHAnsi" w:cstheme="majorHAnsi"/>
          <w:b/>
          <w:sz w:val="32"/>
        </w:rPr>
        <w:t xml:space="preserve">Secondaire </w:t>
      </w:r>
      <w:r w:rsidR="00155A75">
        <w:rPr>
          <w:rFonts w:asciiTheme="majorHAnsi" w:hAnsiTheme="majorHAnsi" w:cstheme="majorHAnsi"/>
          <w:b/>
          <w:sz w:val="32"/>
        </w:rPr>
        <w:t>4</w:t>
      </w:r>
    </w:p>
    <w:p w14:paraId="1738A2E9" w14:textId="77777777" w:rsidR="00EC520A" w:rsidRPr="00EC520A" w:rsidRDefault="00EC520A" w:rsidP="000D27AF">
      <w:pPr>
        <w:rPr>
          <w:rFonts w:asciiTheme="majorHAnsi" w:hAnsiTheme="majorHAnsi" w:cstheme="majorHAnsi"/>
        </w:rPr>
      </w:pPr>
    </w:p>
    <w:p w14:paraId="72CE89F3" w14:textId="77777777" w:rsidR="009842DB" w:rsidRDefault="009842DB" w:rsidP="000D27AF">
      <w:pPr>
        <w:rPr>
          <w:rFonts w:asciiTheme="majorHAnsi" w:hAnsiTheme="majorHAnsi" w:cstheme="majorHAnsi"/>
          <w:sz w:val="28"/>
          <w:u w:val="single"/>
        </w:rPr>
        <w:sectPr w:rsidR="009842DB" w:rsidSect="001523DA">
          <w:footerReference w:type="default" r:id="rId7"/>
          <w:headerReference w:type="first" r:id="rId8"/>
          <w:footerReference w:type="first" r:id="rId9"/>
          <w:type w:val="continuous"/>
          <w:pgSz w:w="12240" w:h="15840" w:code="1"/>
          <w:pgMar w:top="1701" w:right="720" w:bottom="720" w:left="720" w:header="720" w:footer="720" w:gutter="0"/>
          <w:cols w:space="480"/>
          <w:titlePg/>
          <w:docGrid w:linePitch="360"/>
        </w:sectPr>
      </w:pPr>
    </w:p>
    <w:p w14:paraId="788F3027" w14:textId="77777777" w:rsidR="00EC520A" w:rsidRPr="009C3B6B" w:rsidRDefault="00EC520A" w:rsidP="000D27AF">
      <w:pPr>
        <w:rPr>
          <w:rFonts w:asciiTheme="majorHAnsi" w:hAnsiTheme="majorHAnsi" w:cstheme="majorHAnsi"/>
          <w:sz w:val="28"/>
        </w:rPr>
      </w:pPr>
      <w:r w:rsidRPr="009C3B6B">
        <w:rPr>
          <w:rFonts w:asciiTheme="majorHAnsi" w:hAnsiTheme="majorHAnsi" w:cstheme="majorHAnsi"/>
          <w:sz w:val="28"/>
          <w:u w:val="single"/>
        </w:rPr>
        <w:t>Les communications</w:t>
      </w:r>
    </w:p>
    <w:p w14:paraId="28373231" w14:textId="77777777" w:rsidR="00EC520A" w:rsidRPr="00EC520A" w:rsidRDefault="00EC520A" w:rsidP="000D27AF">
      <w:pPr>
        <w:rPr>
          <w:rFonts w:asciiTheme="majorHAnsi" w:hAnsiTheme="majorHAnsi" w:cstheme="majorHAnsi"/>
        </w:rPr>
      </w:pPr>
      <w:r w:rsidRPr="00EC520A">
        <w:rPr>
          <w:rFonts w:asciiTheme="majorHAnsi" w:hAnsiTheme="majorHAnsi" w:cstheme="majorHAnsi"/>
        </w:rPr>
        <w:t>Une première communication écrite portant sur le cheminement scolaire et le comportement de votre enfant vous sera expédiée au plus tard le 15 octobre.</w:t>
      </w:r>
      <w:r>
        <w:rPr>
          <w:rFonts w:asciiTheme="majorHAnsi" w:hAnsiTheme="majorHAnsi" w:cstheme="majorHAnsi"/>
        </w:rPr>
        <w:t xml:space="preserve"> Elle sera accessible </w:t>
      </w:r>
      <w:bookmarkStart w:id="0" w:name="OLE_LINK1"/>
      <w:r>
        <w:rPr>
          <w:rFonts w:asciiTheme="majorHAnsi" w:hAnsiTheme="majorHAnsi" w:cstheme="majorHAnsi"/>
        </w:rPr>
        <w:t>exclusivement de façon électronique, via le portail Mozaïk.</w:t>
      </w:r>
      <w:bookmarkEnd w:id="0"/>
    </w:p>
    <w:p w14:paraId="688D5C89" w14:textId="77777777" w:rsidR="00EC520A" w:rsidRPr="00EC520A" w:rsidRDefault="00EC520A" w:rsidP="000D27AF">
      <w:pPr>
        <w:rPr>
          <w:rFonts w:asciiTheme="majorHAnsi" w:hAnsiTheme="majorHAnsi" w:cstheme="majorHAnsi"/>
        </w:rPr>
      </w:pPr>
    </w:p>
    <w:p w14:paraId="1223F2B4" w14:textId="77777777" w:rsidR="00EC520A" w:rsidRDefault="00EC520A" w:rsidP="000D27AF">
      <w:pPr>
        <w:rPr>
          <w:rFonts w:asciiTheme="majorHAnsi" w:hAnsiTheme="majorHAnsi" w:cstheme="majorHAnsi"/>
        </w:rPr>
      </w:pPr>
      <w:r w:rsidRPr="00EC520A">
        <w:rPr>
          <w:rFonts w:asciiTheme="majorHAnsi" w:hAnsiTheme="majorHAnsi" w:cstheme="majorHAnsi"/>
        </w:rPr>
        <w:t>Une communication par mois pouvant prendre diverses formes (appel téléphonique, courriel, note dans l’agenda, rencontre ou autre) sera faite par l’enseignant de la matière auprès des parents d’un élève ayant des difficultés d’apprentissage qui laissent craindre qu’il n’atteindra pas le seuil de réussite, ou d’un élève ayant des comportements non conformes aux règles de conduite de l’école.</w:t>
      </w:r>
    </w:p>
    <w:p w14:paraId="08228B55" w14:textId="77777777" w:rsidR="00EC520A" w:rsidRDefault="00EC520A" w:rsidP="000D27AF">
      <w:pPr>
        <w:rPr>
          <w:rFonts w:asciiTheme="majorHAnsi" w:hAnsiTheme="majorHAnsi" w:cstheme="majorHAnsi"/>
        </w:rPr>
      </w:pPr>
    </w:p>
    <w:p w14:paraId="3047E83D" w14:textId="77777777" w:rsidR="00EC520A" w:rsidRDefault="00EC520A" w:rsidP="000D27AF">
      <w:pPr>
        <w:rPr>
          <w:rFonts w:asciiTheme="majorHAnsi" w:hAnsiTheme="majorHAnsi" w:cstheme="majorHAnsi"/>
        </w:rPr>
      </w:pPr>
      <w:r>
        <w:rPr>
          <w:rFonts w:asciiTheme="majorHAnsi" w:hAnsiTheme="majorHAnsi" w:cstheme="majorHAnsi"/>
        </w:rPr>
        <w:t>Également, les enseignants inscriront dans Mozaïk, de façon régulière, tous les résultats des travaux effectués en classe qui sont susceptibles d’être considérés dans le calcul du résultat d’étape qui apparaîtra sur le bulletin produit à la fin de l’année.</w:t>
      </w:r>
    </w:p>
    <w:p w14:paraId="51A53404" w14:textId="77777777" w:rsidR="00EC520A" w:rsidRDefault="00EC520A" w:rsidP="000D27AF">
      <w:pPr>
        <w:rPr>
          <w:rFonts w:asciiTheme="majorHAnsi" w:hAnsiTheme="majorHAnsi" w:cstheme="majorHAnsi"/>
        </w:rPr>
      </w:pPr>
    </w:p>
    <w:p w14:paraId="49C95EB6" w14:textId="77777777" w:rsidR="00EC520A" w:rsidRDefault="00EC520A" w:rsidP="000D27AF">
      <w:pPr>
        <w:rPr>
          <w:rFonts w:asciiTheme="majorHAnsi" w:hAnsiTheme="majorHAnsi" w:cstheme="majorHAnsi"/>
        </w:rPr>
      </w:pPr>
      <w:r>
        <w:rPr>
          <w:rFonts w:asciiTheme="majorHAnsi" w:hAnsiTheme="majorHAnsi" w:cstheme="majorHAnsi"/>
        </w:rPr>
        <w:t>Au cours de l’année scolaire, trois bulletins seront produits. Tout comme la première communication, ils seront accessibles exclusivement de façon électronique, via le portail Mozaïk.</w:t>
      </w:r>
    </w:p>
    <w:p w14:paraId="4D433D1D" w14:textId="77777777" w:rsidR="00EC520A" w:rsidRDefault="00EC520A" w:rsidP="000D27AF">
      <w:pPr>
        <w:rPr>
          <w:rFonts w:asciiTheme="majorHAnsi" w:hAnsiTheme="majorHAnsi" w:cstheme="majorHAnsi"/>
        </w:rPr>
      </w:pPr>
      <w:r>
        <w:rPr>
          <w:rFonts w:asciiTheme="majorHAnsi" w:hAnsiTheme="majorHAnsi" w:cstheme="majorHAnsi"/>
        </w:rPr>
        <w:t>Le 1</w:t>
      </w:r>
      <w:r w:rsidRPr="00EC520A">
        <w:rPr>
          <w:rFonts w:asciiTheme="majorHAnsi" w:hAnsiTheme="majorHAnsi" w:cstheme="majorHAnsi"/>
          <w:vertAlign w:val="superscript"/>
        </w:rPr>
        <w:t>er</w:t>
      </w:r>
      <w:r>
        <w:rPr>
          <w:rFonts w:asciiTheme="majorHAnsi" w:hAnsiTheme="majorHAnsi" w:cstheme="majorHAnsi"/>
        </w:rPr>
        <w:t xml:space="preserve"> bulletin :</w:t>
      </w:r>
    </w:p>
    <w:p w14:paraId="278C68F0" w14:textId="0DAEF758"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30 août 202</w:t>
      </w:r>
      <w:r w:rsidR="00341EAF">
        <w:rPr>
          <w:rFonts w:asciiTheme="majorHAnsi" w:hAnsiTheme="majorHAnsi" w:cstheme="majorHAnsi"/>
        </w:rPr>
        <w:t>4</w:t>
      </w:r>
      <w:r>
        <w:rPr>
          <w:rFonts w:asciiTheme="majorHAnsi" w:hAnsiTheme="majorHAnsi" w:cstheme="majorHAnsi"/>
        </w:rPr>
        <w:t xml:space="preserve"> au 10 novembre 202</w:t>
      </w:r>
      <w:r w:rsidR="00341EAF">
        <w:rPr>
          <w:rFonts w:asciiTheme="majorHAnsi" w:hAnsiTheme="majorHAnsi" w:cstheme="majorHAnsi"/>
        </w:rPr>
        <w:t>4</w:t>
      </w:r>
      <w:r>
        <w:rPr>
          <w:rFonts w:asciiTheme="majorHAnsi" w:hAnsiTheme="majorHAnsi" w:cstheme="majorHAnsi"/>
        </w:rPr>
        <w:t>.</w:t>
      </w:r>
    </w:p>
    <w:p w14:paraId="50A28C23"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Cette étape compte pour 20% du résultat final de l’année.</w:t>
      </w:r>
    </w:p>
    <w:p w14:paraId="06E70976" w14:textId="785E4D30"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Le bulletin sera disponible via le portail Mozaïk dans la semaine du 1</w:t>
      </w:r>
      <w:r w:rsidR="00341EAF">
        <w:rPr>
          <w:rFonts w:asciiTheme="majorHAnsi" w:hAnsiTheme="majorHAnsi" w:cstheme="majorHAnsi"/>
        </w:rPr>
        <w:t>1</w:t>
      </w:r>
      <w:r>
        <w:rPr>
          <w:rFonts w:asciiTheme="majorHAnsi" w:hAnsiTheme="majorHAnsi" w:cstheme="majorHAnsi"/>
        </w:rPr>
        <w:t xml:space="preserve"> novembre.</w:t>
      </w:r>
    </w:p>
    <w:p w14:paraId="6862B92C" w14:textId="013CB2B5"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Une rencontre de parents est prévue dans la soirée du 1</w:t>
      </w:r>
      <w:r w:rsidR="00341EAF">
        <w:rPr>
          <w:rFonts w:asciiTheme="majorHAnsi" w:hAnsiTheme="majorHAnsi" w:cstheme="majorHAnsi"/>
        </w:rPr>
        <w:t>4</w:t>
      </w:r>
      <w:r>
        <w:rPr>
          <w:rFonts w:asciiTheme="majorHAnsi" w:hAnsiTheme="majorHAnsi" w:cstheme="majorHAnsi"/>
        </w:rPr>
        <w:t xml:space="preserve"> novembre.</w:t>
      </w:r>
    </w:p>
    <w:p w14:paraId="2E66CDDD" w14:textId="77777777" w:rsidR="00EC520A" w:rsidRDefault="00EC520A" w:rsidP="000D27AF">
      <w:pPr>
        <w:rPr>
          <w:rFonts w:asciiTheme="majorHAnsi" w:hAnsiTheme="majorHAnsi" w:cstheme="majorHAnsi"/>
        </w:rPr>
      </w:pPr>
      <w:r>
        <w:rPr>
          <w:rFonts w:asciiTheme="majorHAnsi" w:hAnsiTheme="majorHAnsi" w:cstheme="majorHAnsi"/>
        </w:rPr>
        <w:t>Le 2</w:t>
      </w:r>
      <w:r w:rsidRPr="00EC520A">
        <w:rPr>
          <w:rFonts w:asciiTheme="majorHAnsi" w:hAnsiTheme="majorHAnsi" w:cstheme="majorHAnsi"/>
          <w:vertAlign w:val="superscript"/>
        </w:rPr>
        <w:t>e</w:t>
      </w:r>
      <w:r>
        <w:rPr>
          <w:rFonts w:asciiTheme="majorHAnsi" w:hAnsiTheme="majorHAnsi" w:cstheme="majorHAnsi"/>
        </w:rPr>
        <w:t xml:space="preserve"> bulletin :</w:t>
      </w:r>
    </w:p>
    <w:p w14:paraId="38F45AF2" w14:textId="2B482C9F"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11 novembre 202</w:t>
      </w:r>
      <w:r w:rsidR="00DA485D">
        <w:rPr>
          <w:rFonts w:asciiTheme="majorHAnsi" w:hAnsiTheme="majorHAnsi" w:cstheme="majorHAnsi"/>
        </w:rPr>
        <w:t>4</w:t>
      </w:r>
      <w:r>
        <w:rPr>
          <w:rFonts w:asciiTheme="majorHAnsi" w:hAnsiTheme="majorHAnsi" w:cstheme="majorHAnsi"/>
        </w:rPr>
        <w:t xml:space="preserve"> au 1</w:t>
      </w:r>
      <w:r w:rsidRPr="00EC520A">
        <w:rPr>
          <w:rFonts w:asciiTheme="majorHAnsi" w:hAnsiTheme="majorHAnsi" w:cstheme="majorHAnsi"/>
          <w:vertAlign w:val="superscript"/>
        </w:rPr>
        <w:t>er</w:t>
      </w:r>
      <w:r>
        <w:rPr>
          <w:rFonts w:asciiTheme="majorHAnsi" w:hAnsiTheme="majorHAnsi" w:cstheme="majorHAnsi"/>
        </w:rPr>
        <w:t xml:space="preserve"> mars 202</w:t>
      </w:r>
      <w:r w:rsidR="00DA485D">
        <w:rPr>
          <w:rFonts w:asciiTheme="majorHAnsi" w:hAnsiTheme="majorHAnsi" w:cstheme="majorHAnsi"/>
        </w:rPr>
        <w:t>5</w:t>
      </w:r>
      <w:r>
        <w:rPr>
          <w:rFonts w:asciiTheme="majorHAnsi" w:hAnsiTheme="majorHAnsi" w:cstheme="majorHAnsi"/>
        </w:rPr>
        <w:t>.</w:t>
      </w:r>
    </w:p>
    <w:p w14:paraId="1151D095" w14:textId="77777777"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Cette étape compte pour 20% du résultat final de l’année.</w:t>
      </w:r>
    </w:p>
    <w:p w14:paraId="0ABB8F5E" w14:textId="006554F8"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Le bulletin sera disponible via le portail Mozaïk dans la semaine du 1</w:t>
      </w:r>
      <w:r w:rsidR="00DA485D">
        <w:rPr>
          <w:rFonts w:asciiTheme="majorHAnsi" w:hAnsiTheme="majorHAnsi" w:cstheme="majorHAnsi"/>
        </w:rPr>
        <w:t>0</w:t>
      </w:r>
      <w:r>
        <w:rPr>
          <w:rFonts w:asciiTheme="majorHAnsi" w:hAnsiTheme="majorHAnsi" w:cstheme="majorHAnsi"/>
        </w:rPr>
        <w:t xml:space="preserve"> mars.</w:t>
      </w:r>
    </w:p>
    <w:p w14:paraId="5877B535" w14:textId="2B39CB64"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Une rencontre de parents, par convocation, est prévue dans la soirée du </w:t>
      </w:r>
      <w:r w:rsidR="009C3B6B">
        <w:rPr>
          <w:rFonts w:asciiTheme="majorHAnsi" w:hAnsiTheme="majorHAnsi" w:cstheme="majorHAnsi"/>
        </w:rPr>
        <w:t>2</w:t>
      </w:r>
      <w:r w:rsidR="00DA485D">
        <w:rPr>
          <w:rFonts w:asciiTheme="majorHAnsi" w:hAnsiTheme="majorHAnsi" w:cstheme="majorHAnsi"/>
        </w:rPr>
        <w:t>0</w:t>
      </w:r>
      <w:r w:rsidR="009C3B6B">
        <w:rPr>
          <w:rFonts w:asciiTheme="majorHAnsi" w:hAnsiTheme="majorHAnsi" w:cstheme="majorHAnsi"/>
        </w:rPr>
        <w:t xml:space="preserve"> mars.</w:t>
      </w:r>
    </w:p>
    <w:p w14:paraId="036F849B" w14:textId="77777777" w:rsidR="009C3B6B" w:rsidRDefault="009C3B6B" w:rsidP="000D27AF">
      <w:pPr>
        <w:rPr>
          <w:rFonts w:asciiTheme="majorHAnsi" w:hAnsiTheme="majorHAnsi" w:cstheme="majorHAnsi"/>
        </w:rPr>
      </w:pPr>
      <w:r>
        <w:rPr>
          <w:rFonts w:asciiTheme="majorHAnsi" w:hAnsiTheme="majorHAnsi" w:cstheme="majorHAnsi"/>
        </w:rPr>
        <w:t>Le 3</w:t>
      </w:r>
      <w:r w:rsidRPr="009C3B6B">
        <w:rPr>
          <w:rFonts w:asciiTheme="majorHAnsi" w:hAnsiTheme="majorHAnsi" w:cstheme="majorHAnsi"/>
          <w:vertAlign w:val="superscript"/>
        </w:rPr>
        <w:t>e</w:t>
      </w:r>
      <w:r>
        <w:rPr>
          <w:rFonts w:asciiTheme="majorHAnsi" w:hAnsiTheme="majorHAnsi" w:cstheme="majorHAnsi"/>
        </w:rPr>
        <w:t xml:space="preserve"> bulletin</w:t>
      </w:r>
    </w:p>
    <w:p w14:paraId="683ED352" w14:textId="6D79D796"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2 mars 202</w:t>
      </w:r>
      <w:r w:rsidR="005E2F16">
        <w:rPr>
          <w:rFonts w:asciiTheme="majorHAnsi" w:hAnsiTheme="majorHAnsi" w:cstheme="majorHAnsi"/>
        </w:rPr>
        <w:t>5</w:t>
      </w:r>
      <w:r>
        <w:rPr>
          <w:rFonts w:asciiTheme="majorHAnsi" w:hAnsiTheme="majorHAnsi" w:cstheme="majorHAnsi"/>
        </w:rPr>
        <w:t xml:space="preserve"> au 21 juin 202</w:t>
      </w:r>
      <w:r w:rsidR="005E2F16">
        <w:rPr>
          <w:rFonts w:asciiTheme="majorHAnsi" w:hAnsiTheme="majorHAnsi" w:cstheme="majorHAnsi"/>
        </w:rPr>
        <w:t>5</w:t>
      </w:r>
      <w:r>
        <w:rPr>
          <w:rFonts w:asciiTheme="majorHAnsi" w:hAnsiTheme="majorHAnsi" w:cstheme="majorHAnsi"/>
        </w:rPr>
        <w:t>.</w:t>
      </w:r>
    </w:p>
    <w:p w14:paraId="4D3DE6A7"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Cette étape compte pour 60% du résultat final de l’année. </w:t>
      </w:r>
    </w:p>
    <w:p w14:paraId="5AC663CA"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Le bulletin sera disponible via le portail Mozaïk dans la semaine du 1</w:t>
      </w:r>
      <w:r w:rsidRPr="009C3B6B">
        <w:rPr>
          <w:rFonts w:asciiTheme="majorHAnsi" w:hAnsiTheme="majorHAnsi" w:cstheme="majorHAnsi"/>
          <w:vertAlign w:val="superscript"/>
        </w:rPr>
        <w:t>er</w:t>
      </w:r>
      <w:r>
        <w:rPr>
          <w:rFonts w:asciiTheme="majorHAnsi" w:hAnsiTheme="majorHAnsi" w:cstheme="majorHAnsi"/>
        </w:rPr>
        <w:t xml:space="preserve"> juillet.</w:t>
      </w:r>
    </w:p>
    <w:p w14:paraId="07EF3565" w14:textId="77777777"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t>Compétences transversales</w:t>
      </w:r>
    </w:p>
    <w:p w14:paraId="7EE02493" w14:textId="77777777" w:rsidR="009C3B6B" w:rsidRDefault="009C3B6B" w:rsidP="000D27AF">
      <w:pPr>
        <w:rPr>
          <w:rFonts w:asciiTheme="majorHAnsi" w:hAnsiTheme="majorHAnsi" w:cstheme="majorHAnsi"/>
        </w:rPr>
      </w:pPr>
      <w:r>
        <w:rPr>
          <w:rFonts w:asciiTheme="majorHAnsi" w:hAnsiTheme="majorHAnsi" w:cstheme="majorHAnsi"/>
        </w:rPr>
        <w:t>Voici les compétences transversales qui seront évaluées cette année :</w:t>
      </w:r>
    </w:p>
    <w:tbl>
      <w:tblPr>
        <w:tblStyle w:val="Grilledutableau"/>
        <w:tblW w:w="0" w:type="auto"/>
        <w:jc w:val="center"/>
        <w:tblCellMar>
          <w:left w:w="0" w:type="dxa"/>
          <w:right w:w="0" w:type="dxa"/>
        </w:tblCellMar>
        <w:tblLook w:val="04A0" w:firstRow="1" w:lastRow="0" w:firstColumn="1" w:lastColumn="0" w:noHBand="0" w:noVBand="1"/>
      </w:tblPr>
      <w:tblGrid>
        <w:gridCol w:w="3504"/>
        <w:gridCol w:w="1127"/>
        <w:gridCol w:w="1175"/>
        <w:gridCol w:w="1171"/>
      </w:tblGrid>
      <w:tr w:rsidR="009C3B6B" w:rsidRPr="009C3B6B" w14:paraId="1F227E29" w14:textId="77777777" w:rsidTr="00BA5592">
        <w:trPr>
          <w:jc w:val="center"/>
        </w:trPr>
        <w:tc>
          <w:tcPr>
            <w:tcW w:w="3504" w:type="dxa"/>
            <w:vAlign w:val="center"/>
          </w:tcPr>
          <w:p w14:paraId="77E82724"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Compétences transversales</w:t>
            </w:r>
          </w:p>
        </w:tc>
        <w:tc>
          <w:tcPr>
            <w:tcW w:w="1127" w:type="dxa"/>
            <w:vAlign w:val="center"/>
          </w:tcPr>
          <w:p w14:paraId="20328724"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1</w:t>
            </w:r>
          </w:p>
        </w:tc>
        <w:tc>
          <w:tcPr>
            <w:tcW w:w="1175" w:type="dxa"/>
            <w:vAlign w:val="center"/>
          </w:tcPr>
          <w:p w14:paraId="4D773BAE"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2</w:t>
            </w:r>
          </w:p>
        </w:tc>
        <w:tc>
          <w:tcPr>
            <w:tcW w:w="1171" w:type="dxa"/>
            <w:vAlign w:val="center"/>
          </w:tcPr>
          <w:p w14:paraId="7239669D"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3</w:t>
            </w:r>
          </w:p>
        </w:tc>
      </w:tr>
      <w:tr w:rsidR="009C3B6B" w:rsidRPr="009C3B6B" w14:paraId="6E0742A9" w14:textId="77777777" w:rsidTr="00BA5592">
        <w:trPr>
          <w:jc w:val="center"/>
        </w:trPr>
        <w:tc>
          <w:tcPr>
            <w:tcW w:w="3504" w:type="dxa"/>
          </w:tcPr>
          <w:p w14:paraId="094EBEBE"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Exercer son jugement critique</w:t>
            </w:r>
          </w:p>
        </w:tc>
        <w:tc>
          <w:tcPr>
            <w:tcW w:w="1127" w:type="dxa"/>
            <w:vAlign w:val="center"/>
          </w:tcPr>
          <w:p w14:paraId="2CF83C51" w14:textId="77777777" w:rsidR="009C3B6B" w:rsidRPr="009C3B6B" w:rsidRDefault="009C3B6B" w:rsidP="000D27AF">
            <w:pPr>
              <w:rPr>
                <w:rFonts w:asciiTheme="majorHAnsi" w:hAnsiTheme="majorHAnsi" w:cstheme="majorHAnsi"/>
                <w:sz w:val="18"/>
                <w:szCs w:val="22"/>
              </w:rPr>
            </w:pPr>
          </w:p>
        </w:tc>
        <w:tc>
          <w:tcPr>
            <w:tcW w:w="1175" w:type="dxa"/>
            <w:vAlign w:val="center"/>
          </w:tcPr>
          <w:p w14:paraId="4A2EB93B" w14:textId="77777777" w:rsidR="009C3B6B" w:rsidRPr="009C3B6B" w:rsidRDefault="009C3B6B" w:rsidP="000D27AF">
            <w:pPr>
              <w:rPr>
                <w:rFonts w:asciiTheme="majorHAnsi" w:hAnsiTheme="majorHAnsi" w:cstheme="majorHAnsi"/>
                <w:sz w:val="18"/>
                <w:szCs w:val="22"/>
              </w:rPr>
            </w:pPr>
          </w:p>
        </w:tc>
        <w:tc>
          <w:tcPr>
            <w:tcW w:w="1171" w:type="dxa"/>
            <w:vAlign w:val="center"/>
          </w:tcPr>
          <w:p w14:paraId="7D84E30C" w14:textId="77777777" w:rsidR="009C3B6B" w:rsidRPr="009C3B6B" w:rsidRDefault="009C3B6B" w:rsidP="000D27AF">
            <w:pPr>
              <w:rPr>
                <w:rFonts w:asciiTheme="majorHAnsi" w:hAnsiTheme="majorHAnsi" w:cstheme="majorHAnsi"/>
                <w:sz w:val="18"/>
                <w:szCs w:val="22"/>
              </w:rPr>
            </w:pPr>
          </w:p>
        </w:tc>
      </w:tr>
      <w:tr w:rsidR="009C3B6B" w:rsidRPr="009C3B6B" w14:paraId="30B54603" w14:textId="77777777" w:rsidTr="00BA5592">
        <w:trPr>
          <w:jc w:val="center"/>
        </w:trPr>
        <w:tc>
          <w:tcPr>
            <w:tcW w:w="3504" w:type="dxa"/>
          </w:tcPr>
          <w:p w14:paraId="27953E9D"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Organiser son travail</w:t>
            </w:r>
          </w:p>
        </w:tc>
        <w:tc>
          <w:tcPr>
            <w:tcW w:w="1127" w:type="dxa"/>
            <w:vAlign w:val="center"/>
          </w:tcPr>
          <w:p w14:paraId="238FD232" w14:textId="77777777" w:rsidR="009C3B6B" w:rsidRPr="009C3B6B" w:rsidRDefault="009C3B6B" w:rsidP="000D27AF">
            <w:pPr>
              <w:rPr>
                <w:rFonts w:asciiTheme="majorHAnsi" w:hAnsiTheme="majorHAnsi" w:cstheme="majorHAnsi"/>
                <w:sz w:val="18"/>
                <w:szCs w:val="22"/>
              </w:rPr>
            </w:pPr>
          </w:p>
        </w:tc>
        <w:tc>
          <w:tcPr>
            <w:tcW w:w="1175" w:type="dxa"/>
            <w:vAlign w:val="center"/>
          </w:tcPr>
          <w:p w14:paraId="5F7F94BD" w14:textId="77777777" w:rsidR="009C3B6B" w:rsidRPr="009C3B6B" w:rsidRDefault="009C3B6B" w:rsidP="000D27AF">
            <w:pPr>
              <w:rPr>
                <w:rFonts w:asciiTheme="majorHAnsi" w:hAnsiTheme="majorHAnsi" w:cstheme="majorHAnsi"/>
                <w:sz w:val="18"/>
                <w:szCs w:val="22"/>
              </w:rPr>
            </w:pPr>
          </w:p>
        </w:tc>
        <w:tc>
          <w:tcPr>
            <w:tcW w:w="1171" w:type="dxa"/>
            <w:vAlign w:val="center"/>
          </w:tcPr>
          <w:p w14:paraId="3C7A08ED" w14:textId="77777777" w:rsidR="009C3B6B" w:rsidRPr="009C3B6B" w:rsidRDefault="00155A75" w:rsidP="000D27AF">
            <w:pPr>
              <w:rPr>
                <w:rFonts w:asciiTheme="majorHAnsi" w:hAnsiTheme="majorHAnsi" w:cstheme="majorHAnsi"/>
                <w:sz w:val="18"/>
                <w:szCs w:val="22"/>
              </w:rPr>
            </w:pPr>
            <w:r w:rsidRPr="009C3B6B">
              <w:rPr>
                <w:rFonts w:asciiTheme="majorHAnsi" w:hAnsiTheme="majorHAnsi" w:cstheme="majorHAnsi"/>
                <w:sz w:val="18"/>
                <w:szCs w:val="22"/>
              </w:rPr>
              <w:t>X</w:t>
            </w:r>
          </w:p>
        </w:tc>
      </w:tr>
      <w:tr w:rsidR="009C3B6B" w:rsidRPr="009C3B6B" w14:paraId="56103719" w14:textId="77777777" w:rsidTr="00BA5592">
        <w:trPr>
          <w:jc w:val="center"/>
        </w:trPr>
        <w:tc>
          <w:tcPr>
            <w:tcW w:w="3504" w:type="dxa"/>
          </w:tcPr>
          <w:p w14:paraId="354BB9BB"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communiquer</w:t>
            </w:r>
          </w:p>
        </w:tc>
        <w:tc>
          <w:tcPr>
            <w:tcW w:w="1127" w:type="dxa"/>
            <w:vAlign w:val="center"/>
          </w:tcPr>
          <w:p w14:paraId="35211034" w14:textId="77777777" w:rsidR="009C3B6B" w:rsidRPr="009C3B6B" w:rsidRDefault="009C3B6B" w:rsidP="000D27AF">
            <w:pPr>
              <w:rPr>
                <w:rFonts w:asciiTheme="majorHAnsi" w:hAnsiTheme="majorHAnsi" w:cstheme="majorHAnsi"/>
                <w:sz w:val="18"/>
                <w:szCs w:val="22"/>
              </w:rPr>
            </w:pPr>
          </w:p>
        </w:tc>
        <w:tc>
          <w:tcPr>
            <w:tcW w:w="1175" w:type="dxa"/>
            <w:vAlign w:val="center"/>
          </w:tcPr>
          <w:p w14:paraId="5077697D" w14:textId="77777777" w:rsidR="009C3B6B" w:rsidRPr="009C3B6B" w:rsidRDefault="009C3B6B" w:rsidP="000D27AF">
            <w:pPr>
              <w:rPr>
                <w:rFonts w:asciiTheme="majorHAnsi" w:hAnsiTheme="majorHAnsi" w:cstheme="majorHAnsi"/>
                <w:sz w:val="18"/>
                <w:szCs w:val="22"/>
              </w:rPr>
            </w:pPr>
          </w:p>
        </w:tc>
        <w:tc>
          <w:tcPr>
            <w:tcW w:w="1171" w:type="dxa"/>
            <w:vAlign w:val="center"/>
          </w:tcPr>
          <w:p w14:paraId="1016CF02" w14:textId="77777777" w:rsidR="009C3B6B" w:rsidRPr="009C3B6B" w:rsidRDefault="009C3B6B" w:rsidP="000D27AF">
            <w:pPr>
              <w:rPr>
                <w:rFonts w:asciiTheme="majorHAnsi" w:hAnsiTheme="majorHAnsi" w:cstheme="majorHAnsi"/>
                <w:sz w:val="18"/>
                <w:szCs w:val="22"/>
              </w:rPr>
            </w:pPr>
          </w:p>
        </w:tc>
      </w:tr>
      <w:tr w:rsidR="009C3B6B" w:rsidRPr="009C3B6B" w14:paraId="2613235B" w14:textId="77777777" w:rsidTr="00BA5592">
        <w:trPr>
          <w:jc w:val="center"/>
        </w:trPr>
        <w:tc>
          <w:tcPr>
            <w:tcW w:w="3504" w:type="dxa"/>
          </w:tcPr>
          <w:p w14:paraId="471E9CD6"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travailler en équipe</w:t>
            </w:r>
          </w:p>
        </w:tc>
        <w:tc>
          <w:tcPr>
            <w:tcW w:w="1127" w:type="dxa"/>
            <w:vAlign w:val="center"/>
          </w:tcPr>
          <w:p w14:paraId="7C73A703" w14:textId="77777777" w:rsidR="009C3B6B" w:rsidRPr="009C3B6B" w:rsidRDefault="009C3B6B" w:rsidP="000D27AF">
            <w:pPr>
              <w:rPr>
                <w:rFonts w:asciiTheme="majorHAnsi" w:hAnsiTheme="majorHAnsi" w:cstheme="majorHAnsi"/>
                <w:sz w:val="18"/>
                <w:szCs w:val="22"/>
              </w:rPr>
            </w:pPr>
          </w:p>
        </w:tc>
        <w:tc>
          <w:tcPr>
            <w:tcW w:w="1175" w:type="dxa"/>
            <w:vAlign w:val="center"/>
          </w:tcPr>
          <w:p w14:paraId="7BDB2628" w14:textId="77777777" w:rsidR="009C3B6B" w:rsidRPr="009C3B6B" w:rsidRDefault="009C3B6B" w:rsidP="000D27AF">
            <w:pPr>
              <w:rPr>
                <w:rFonts w:asciiTheme="majorHAnsi" w:hAnsiTheme="majorHAnsi" w:cstheme="majorHAnsi"/>
                <w:sz w:val="18"/>
                <w:szCs w:val="22"/>
              </w:rPr>
            </w:pPr>
          </w:p>
        </w:tc>
        <w:tc>
          <w:tcPr>
            <w:tcW w:w="1171" w:type="dxa"/>
            <w:vAlign w:val="center"/>
          </w:tcPr>
          <w:p w14:paraId="2153C757" w14:textId="77777777" w:rsidR="009C3B6B" w:rsidRPr="009C3B6B" w:rsidRDefault="009C3B6B" w:rsidP="000D27AF">
            <w:pPr>
              <w:rPr>
                <w:rFonts w:asciiTheme="majorHAnsi" w:hAnsiTheme="majorHAnsi" w:cstheme="majorHAnsi"/>
                <w:sz w:val="18"/>
                <w:szCs w:val="22"/>
              </w:rPr>
            </w:pPr>
          </w:p>
        </w:tc>
      </w:tr>
    </w:tbl>
    <w:p w14:paraId="4740303A" w14:textId="77777777" w:rsidR="001523DA" w:rsidRDefault="001523DA" w:rsidP="000D27AF">
      <w:pPr>
        <w:rPr>
          <w:rFonts w:asciiTheme="majorHAnsi" w:hAnsiTheme="majorHAnsi" w:cstheme="majorHAnsi"/>
          <w:sz w:val="28"/>
          <w:u w:val="single"/>
        </w:rPr>
      </w:pPr>
    </w:p>
    <w:p w14:paraId="5C632CB1" w14:textId="77777777" w:rsidR="008232AA" w:rsidRDefault="008232AA" w:rsidP="000D27AF">
      <w:pPr>
        <w:rPr>
          <w:rFonts w:asciiTheme="majorHAnsi" w:hAnsiTheme="majorHAnsi" w:cstheme="majorHAnsi"/>
          <w:sz w:val="28"/>
          <w:u w:val="single"/>
        </w:rPr>
      </w:pPr>
    </w:p>
    <w:p w14:paraId="0486F691" w14:textId="2FA15C6A"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t>Exemption 85%</w:t>
      </w:r>
    </w:p>
    <w:p w14:paraId="48ADD5D1"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L’élève qui aura obtenu un sommaire de 85 % dans les matières ciblées pourra être exempté de l’évaluation de fin d’année qui se déroule pendant la session d’examens à horaires bloqués.</w:t>
      </w:r>
    </w:p>
    <w:p w14:paraId="4FF09528"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Cette décision se prendra par l’enseignant concerné à la fin du mois de mai.</w:t>
      </w:r>
    </w:p>
    <w:p w14:paraId="5B96FE64"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L’enseignant, par courriel, informe le parent de l’exemption de son enfant à l’examen dans la semaine précédant la session d’examens, via un message uniforme.</w:t>
      </w:r>
    </w:p>
    <w:p w14:paraId="4AAA1A85" w14:textId="77777777" w:rsidR="009C3B6B" w:rsidRP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Un élève exempté d’un examen peut prendre la décision de le faire et le meilleur résultat sera retenu.</w:t>
      </w:r>
    </w:p>
    <w:p w14:paraId="7AC83223" w14:textId="77777777" w:rsidR="009C3B6B" w:rsidRDefault="009C3B6B" w:rsidP="000D27AF">
      <w:pPr>
        <w:pStyle w:val="Paragraphedeliste"/>
        <w:numPr>
          <w:ilvl w:val="0"/>
          <w:numId w:val="4"/>
        </w:numPr>
        <w:spacing w:line="240" w:lineRule="auto"/>
        <w:rPr>
          <w:rFonts w:asciiTheme="majorHAnsi" w:hAnsiTheme="majorHAnsi" w:cstheme="majorHAnsi"/>
        </w:rPr>
      </w:pPr>
      <w:r w:rsidRPr="009C3B6B">
        <w:rPr>
          <w:rFonts w:asciiTheme="majorHAnsi" w:hAnsiTheme="majorHAnsi" w:cstheme="majorHAnsi"/>
        </w:rPr>
        <w:t>Exemption par discipline, ne touchant pas les épreuves obligatoires du MÉQ et imposées par le Centre de services scolaire.</w:t>
      </w:r>
    </w:p>
    <w:p w14:paraId="6D38500A" w14:textId="77777777" w:rsidR="009C3B6B" w:rsidRDefault="009C3B6B" w:rsidP="000D27AF">
      <w:pPr>
        <w:rPr>
          <w:rFonts w:asciiTheme="majorHAnsi" w:hAnsiTheme="majorHAnsi" w:cstheme="majorHAnsi"/>
          <w:sz w:val="28"/>
          <w:u w:val="single"/>
        </w:rPr>
      </w:pPr>
      <w:r>
        <w:rPr>
          <w:rFonts w:asciiTheme="majorHAnsi" w:hAnsiTheme="majorHAnsi" w:cstheme="majorHAnsi"/>
          <w:sz w:val="28"/>
          <w:u w:val="single"/>
        </w:rPr>
        <w:t>Évaluation des apprentissages</w:t>
      </w:r>
    </w:p>
    <w:p w14:paraId="2BE7C68E" w14:textId="77777777" w:rsidR="00E5051A" w:rsidRDefault="00E5051A" w:rsidP="000D27AF">
      <w:pPr>
        <w:rPr>
          <w:rFonts w:asciiTheme="majorHAnsi" w:hAnsiTheme="majorHAnsi" w:cstheme="majorHAnsi"/>
          <w:sz w:val="28"/>
          <w:u w:val="single"/>
        </w:rPr>
      </w:pPr>
    </w:p>
    <w:p w14:paraId="24637C0E" w14:textId="3CBE5302" w:rsidR="000D27AF" w:rsidRDefault="00155A75" w:rsidP="000D27AF">
      <w:pPr>
        <w:jc w:val="center"/>
        <w:rPr>
          <w:noProof/>
        </w:rPr>
      </w:pPr>
      <w:r w:rsidRPr="00155A75">
        <w:rPr>
          <w:noProof/>
        </w:rPr>
        <w:t xml:space="preserve">   </w:t>
      </w:r>
      <w:r w:rsidR="00E5051A" w:rsidRPr="00E5051A">
        <w:rPr>
          <w:noProof/>
        </w:rPr>
        <w:drawing>
          <wp:inline distT="0" distB="0" distL="0" distR="0" wp14:anchorId="6C834851" wp14:editId="7745267B">
            <wp:extent cx="5209591" cy="6515947"/>
            <wp:effectExtent l="0" t="0" r="0" b="0"/>
            <wp:docPr id="3536703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70322" name=""/>
                    <pic:cNvPicPr/>
                  </pic:nvPicPr>
                  <pic:blipFill>
                    <a:blip r:embed="rId10"/>
                    <a:stretch>
                      <a:fillRect/>
                    </a:stretch>
                  </pic:blipFill>
                  <pic:spPr>
                    <a:xfrm>
                      <a:off x="0" y="0"/>
                      <a:ext cx="5219365" cy="6528171"/>
                    </a:xfrm>
                    <a:prstGeom prst="rect">
                      <a:avLst/>
                    </a:prstGeom>
                  </pic:spPr>
                </pic:pic>
              </a:graphicData>
            </a:graphic>
          </wp:inline>
        </w:drawing>
      </w:r>
    </w:p>
    <w:p w14:paraId="5CFC193D" w14:textId="77777777" w:rsidR="00E5051A" w:rsidRDefault="00E5051A" w:rsidP="000D27AF">
      <w:pPr>
        <w:jc w:val="center"/>
        <w:rPr>
          <w:noProof/>
        </w:rPr>
      </w:pPr>
    </w:p>
    <w:p w14:paraId="5315EEA3" w14:textId="77777777" w:rsidR="00E5051A" w:rsidRDefault="00E5051A" w:rsidP="000D27AF">
      <w:pPr>
        <w:jc w:val="center"/>
        <w:rPr>
          <w:noProof/>
        </w:rPr>
      </w:pPr>
    </w:p>
    <w:p w14:paraId="0178B816" w14:textId="77777777" w:rsidR="00E5051A" w:rsidRDefault="00E5051A" w:rsidP="000D27AF">
      <w:pPr>
        <w:jc w:val="center"/>
        <w:rPr>
          <w:noProof/>
        </w:rPr>
      </w:pPr>
    </w:p>
    <w:p w14:paraId="5F68E844" w14:textId="77777777" w:rsidR="00E5051A" w:rsidRDefault="00E5051A" w:rsidP="000D27AF">
      <w:pPr>
        <w:jc w:val="center"/>
        <w:rPr>
          <w:noProof/>
        </w:rPr>
      </w:pPr>
    </w:p>
    <w:p w14:paraId="544A6D21" w14:textId="72642912" w:rsidR="00E5051A" w:rsidRDefault="00E5051A" w:rsidP="000D27AF">
      <w:pPr>
        <w:jc w:val="center"/>
        <w:rPr>
          <w:noProof/>
        </w:rPr>
      </w:pPr>
      <w:r w:rsidRPr="00E5051A">
        <w:rPr>
          <w:noProof/>
        </w:rPr>
        <w:drawing>
          <wp:inline distT="0" distB="0" distL="0" distR="0" wp14:anchorId="07888A68" wp14:editId="5446B1AC">
            <wp:extent cx="5613071" cy="1551093"/>
            <wp:effectExtent l="0" t="0" r="6985" b="0"/>
            <wp:docPr id="3836398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39846" name=""/>
                    <pic:cNvPicPr/>
                  </pic:nvPicPr>
                  <pic:blipFill>
                    <a:blip r:embed="rId11"/>
                    <a:stretch>
                      <a:fillRect/>
                    </a:stretch>
                  </pic:blipFill>
                  <pic:spPr>
                    <a:xfrm>
                      <a:off x="0" y="0"/>
                      <a:ext cx="5626515" cy="1554808"/>
                    </a:xfrm>
                    <a:prstGeom prst="rect">
                      <a:avLst/>
                    </a:prstGeom>
                  </pic:spPr>
                </pic:pic>
              </a:graphicData>
            </a:graphic>
          </wp:inline>
        </w:drawing>
      </w:r>
    </w:p>
    <w:p w14:paraId="179AF8A2" w14:textId="77777777" w:rsidR="009C3B6B" w:rsidRDefault="009C3B6B" w:rsidP="00E5051A">
      <w:pPr>
        <w:ind w:left="708" w:firstLine="708"/>
        <w:rPr>
          <w:rFonts w:asciiTheme="majorHAnsi" w:hAnsiTheme="majorHAnsi" w:cstheme="majorHAnsi"/>
        </w:rPr>
      </w:pPr>
      <w:r>
        <w:rPr>
          <w:rFonts w:asciiTheme="majorHAnsi" w:hAnsiTheme="majorHAnsi" w:cstheme="majorHAnsi"/>
        </w:rPr>
        <w:t>Pour toutes les autres matières, un résultat disciplinaire apparaîtra pour chacun des bulletins.</w:t>
      </w:r>
    </w:p>
    <w:p w14:paraId="2F4126A2" w14:textId="77777777" w:rsidR="009C3B6B" w:rsidRDefault="009C3B6B" w:rsidP="000D27AF">
      <w:pPr>
        <w:rPr>
          <w:rFonts w:asciiTheme="majorHAnsi" w:hAnsiTheme="majorHAnsi" w:cstheme="majorHAnsi"/>
          <w:sz w:val="16"/>
        </w:rPr>
      </w:pPr>
    </w:p>
    <w:p w14:paraId="261209F1" w14:textId="77777777" w:rsidR="004262EA" w:rsidRDefault="004262EA" w:rsidP="00280BCC">
      <w:pPr>
        <w:rPr>
          <w:rFonts w:asciiTheme="majorHAnsi" w:hAnsiTheme="majorHAnsi" w:cstheme="majorHAnsi"/>
          <w:sz w:val="28"/>
          <w:u w:val="single"/>
        </w:rPr>
      </w:pPr>
    </w:p>
    <w:p w14:paraId="07AA0D33" w14:textId="6B292F8C" w:rsidR="00280BCC" w:rsidRDefault="00280BCC" w:rsidP="00280BCC">
      <w:pPr>
        <w:rPr>
          <w:rFonts w:asciiTheme="majorHAnsi" w:hAnsiTheme="majorHAnsi" w:cstheme="majorHAnsi"/>
          <w:sz w:val="28"/>
          <w:u w:val="single"/>
        </w:rPr>
      </w:pPr>
      <w:r>
        <w:rPr>
          <w:rFonts w:asciiTheme="majorHAnsi" w:hAnsiTheme="majorHAnsi" w:cstheme="majorHAnsi"/>
          <w:sz w:val="28"/>
          <w:u w:val="single"/>
        </w:rPr>
        <w:t>Les épreuves uniques</w:t>
      </w:r>
    </w:p>
    <w:p w14:paraId="21C91E31" w14:textId="77777777" w:rsidR="00280BCC" w:rsidRDefault="00280BCC" w:rsidP="000D27AF">
      <w:pPr>
        <w:rPr>
          <w:rFonts w:asciiTheme="majorHAnsi" w:hAnsiTheme="majorHAnsi" w:cstheme="majorHAnsi"/>
          <w:szCs w:val="22"/>
        </w:rPr>
      </w:pPr>
      <w:r w:rsidRPr="00280BCC">
        <w:rPr>
          <w:rFonts w:asciiTheme="majorHAnsi" w:hAnsiTheme="majorHAnsi" w:cstheme="majorHAnsi"/>
          <w:szCs w:val="22"/>
        </w:rPr>
        <w:t>Les élèves de 4</w:t>
      </w:r>
      <w:r w:rsidRPr="00280BCC">
        <w:rPr>
          <w:rFonts w:asciiTheme="majorHAnsi" w:hAnsiTheme="majorHAnsi" w:cstheme="majorHAnsi"/>
          <w:szCs w:val="22"/>
          <w:vertAlign w:val="superscript"/>
        </w:rPr>
        <w:t>e</w:t>
      </w:r>
      <w:r w:rsidRPr="00280BCC">
        <w:rPr>
          <w:rFonts w:asciiTheme="majorHAnsi" w:hAnsiTheme="majorHAnsi" w:cstheme="majorHAnsi"/>
          <w:szCs w:val="22"/>
        </w:rPr>
        <w:t xml:space="preserve"> secondaire auront trois épreuves uniques du ministère à faire à la fin de l’année scolaire. </w:t>
      </w:r>
    </w:p>
    <w:p w14:paraId="3B980E46" w14:textId="4006D083" w:rsidR="00280BCC" w:rsidRDefault="00280BCC" w:rsidP="00280BCC">
      <w:pPr>
        <w:jc w:val="center"/>
        <w:rPr>
          <w:rFonts w:asciiTheme="majorHAnsi" w:hAnsiTheme="majorHAnsi" w:cstheme="majorHAnsi"/>
          <w:szCs w:val="22"/>
        </w:rPr>
      </w:pPr>
      <w:r>
        <w:rPr>
          <w:rFonts w:asciiTheme="majorHAnsi" w:hAnsiTheme="majorHAnsi" w:cstheme="majorHAnsi"/>
          <w:szCs w:val="22"/>
        </w:rPr>
        <w:t>Histoire : 1</w:t>
      </w:r>
      <w:r w:rsidR="00EC456C">
        <w:rPr>
          <w:rFonts w:asciiTheme="majorHAnsi" w:hAnsiTheme="majorHAnsi" w:cstheme="majorHAnsi"/>
          <w:szCs w:val="22"/>
        </w:rPr>
        <w:t>3</w:t>
      </w:r>
      <w:r>
        <w:rPr>
          <w:rFonts w:asciiTheme="majorHAnsi" w:hAnsiTheme="majorHAnsi" w:cstheme="majorHAnsi"/>
          <w:szCs w:val="22"/>
        </w:rPr>
        <w:t xml:space="preserve"> juin 202</w:t>
      </w:r>
      <w:r w:rsidR="008232AA">
        <w:rPr>
          <w:rFonts w:asciiTheme="majorHAnsi" w:hAnsiTheme="majorHAnsi" w:cstheme="majorHAnsi"/>
          <w:szCs w:val="22"/>
        </w:rPr>
        <w:t>5</w:t>
      </w:r>
    </w:p>
    <w:p w14:paraId="5368706A" w14:textId="416A8E18" w:rsidR="00280BCC" w:rsidRDefault="00280BCC" w:rsidP="00280BCC">
      <w:pPr>
        <w:jc w:val="center"/>
        <w:rPr>
          <w:rFonts w:asciiTheme="majorHAnsi" w:hAnsiTheme="majorHAnsi" w:cstheme="majorHAnsi"/>
          <w:szCs w:val="22"/>
        </w:rPr>
      </w:pPr>
      <w:r>
        <w:rPr>
          <w:rFonts w:asciiTheme="majorHAnsi" w:hAnsiTheme="majorHAnsi" w:cstheme="majorHAnsi"/>
          <w:szCs w:val="22"/>
        </w:rPr>
        <w:t>Maths SN : 1</w:t>
      </w:r>
      <w:r w:rsidR="00EC456C">
        <w:rPr>
          <w:rFonts w:asciiTheme="majorHAnsi" w:hAnsiTheme="majorHAnsi" w:cstheme="majorHAnsi"/>
          <w:szCs w:val="22"/>
        </w:rPr>
        <w:t>1</w:t>
      </w:r>
      <w:r>
        <w:rPr>
          <w:rFonts w:asciiTheme="majorHAnsi" w:hAnsiTheme="majorHAnsi" w:cstheme="majorHAnsi"/>
          <w:szCs w:val="22"/>
        </w:rPr>
        <w:t xml:space="preserve"> juin 202</w:t>
      </w:r>
      <w:r w:rsidR="008232AA">
        <w:rPr>
          <w:rFonts w:asciiTheme="majorHAnsi" w:hAnsiTheme="majorHAnsi" w:cstheme="majorHAnsi"/>
          <w:szCs w:val="22"/>
        </w:rPr>
        <w:t>5</w:t>
      </w:r>
      <w:r>
        <w:rPr>
          <w:rFonts w:asciiTheme="majorHAnsi" w:hAnsiTheme="majorHAnsi" w:cstheme="majorHAnsi"/>
          <w:szCs w:val="22"/>
        </w:rPr>
        <w:t xml:space="preserve"> </w:t>
      </w:r>
      <w:r>
        <w:rPr>
          <w:rFonts w:asciiTheme="majorHAnsi" w:hAnsiTheme="majorHAnsi" w:cstheme="majorHAnsi"/>
          <w:b/>
          <w:szCs w:val="22"/>
        </w:rPr>
        <w:t>ou</w:t>
      </w:r>
      <w:r>
        <w:rPr>
          <w:rFonts w:asciiTheme="majorHAnsi" w:hAnsiTheme="majorHAnsi" w:cstheme="majorHAnsi"/>
          <w:szCs w:val="22"/>
        </w:rPr>
        <w:t xml:space="preserve"> Maths CST : 1</w:t>
      </w:r>
      <w:r w:rsidR="00EC456C">
        <w:rPr>
          <w:rFonts w:asciiTheme="majorHAnsi" w:hAnsiTheme="majorHAnsi" w:cstheme="majorHAnsi"/>
          <w:szCs w:val="22"/>
        </w:rPr>
        <w:t>8</w:t>
      </w:r>
      <w:r>
        <w:rPr>
          <w:rFonts w:asciiTheme="majorHAnsi" w:hAnsiTheme="majorHAnsi" w:cstheme="majorHAnsi"/>
          <w:szCs w:val="22"/>
        </w:rPr>
        <w:t xml:space="preserve"> juin 202</w:t>
      </w:r>
      <w:r w:rsidR="008232AA">
        <w:rPr>
          <w:rFonts w:asciiTheme="majorHAnsi" w:hAnsiTheme="majorHAnsi" w:cstheme="majorHAnsi"/>
          <w:szCs w:val="22"/>
        </w:rPr>
        <w:t>5</w:t>
      </w:r>
    </w:p>
    <w:p w14:paraId="68AD7C4E" w14:textId="510EF0AF" w:rsidR="00280BCC" w:rsidRPr="00280BCC" w:rsidRDefault="00280BCC" w:rsidP="00280BCC">
      <w:pPr>
        <w:jc w:val="center"/>
        <w:rPr>
          <w:rFonts w:asciiTheme="majorHAnsi" w:hAnsiTheme="majorHAnsi" w:cstheme="majorHAnsi"/>
          <w:szCs w:val="22"/>
        </w:rPr>
      </w:pPr>
      <w:r>
        <w:rPr>
          <w:rFonts w:asciiTheme="majorHAnsi" w:hAnsiTheme="majorHAnsi" w:cstheme="majorHAnsi"/>
          <w:szCs w:val="22"/>
        </w:rPr>
        <w:t>Sciences ST : 1</w:t>
      </w:r>
      <w:r w:rsidR="00EC456C">
        <w:rPr>
          <w:rFonts w:asciiTheme="majorHAnsi" w:hAnsiTheme="majorHAnsi" w:cstheme="majorHAnsi"/>
          <w:szCs w:val="22"/>
        </w:rPr>
        <w:t>6</w:t>
      </w:r>
      <w:r>
        <w:rPr>
          <w:rFonts w:asciiTheme="majorHAnsi" w:hAnsiTheme="majorHAnsi" w:cstheme="majorHAnsi"/>
          <w:szCs w:val="22"/>
        </w:rPr>
        <w:t xml:space="preserve"> juin 202</w:t>
      </w:r>
      <w:r w:rsidR="008232AA">
        <w:rPr>
          <w:rFonts w:asciiTheme="majorHAnsi" w:hAnsiTheme="majorHAnsi" w:cstheme="majorHAnsi"/>
          <w:szCs w:val="22"/>
        </w:rPr>
        <w:t>5</w:t>
      </w:r>
    </w:p>
    <w:p w14:paraId="4E51225F" w14:textId="73892F43" w:rsidR="00AF6F64" w:rsidRDefault="00AF6F64" w:rsidP="00AF6F64">
      <w:pPr>
        <w:rPr>
          <w:rFonts w:asciiTheme="majorHAnsi" w:hAnsiTheme="majorHAnsi" w:cstheme="majorHAnsi"/>
          <w:szCs w:val="22"/>
        </w:rPr>
      </w:pPr>
      <w:r>
        <w:rPr>
          <w:rFonts w:asciiTheme="majorHAnsi" w:hAnsiTheme="majorHAnsi" w:cstheme="majorHAnsi"/>
        </w:rPr>
        <w:t>*</w:t>
      </w:r>
      <w:r>
        <w:rPr>
          <w:rFonts w:asciiTheme="majorHAnsi" w:hAnsiTheme="majorHAnsi" w:cstheme="majorHAnsi"/>
          <w:szCs w:val="22"/>
        </w:rPr>
        <w:t xml:space="preserve">Dates sujettes à changement </w:t>
      </w:r>
    </w:p>
    <w:p w14:paraId="62F96E76" w14:textId="77777777" w:rsidR="00280BCC" w:rsidRDefault="00280BCC" w:rsidP="000D27AF">
      <w:pPr>
        <w:rPr>
          <w:rFonts w:asciiTheme="majorHAnsi" w:hAnsiTheme="majorHAnsi" w:cstheme="majorHAnsi"/>
        </w:rPr>
      </w:pPr>
    </w:p>
    <w:p w14:paraId="160F9C88" w14:textId="77777777" w:rsidR="009842DB" w:rsidRPr="009842DB" w:rsidRDefault="009842DB" w:rsidP="000D27AF">
      <w:pPr>
        <w:rPr>
          <w:rFonts w:asciiTheme="majorHAnsi" w:hAnsiTheme="majorHAnsi" w:cstheme="majorHAnsi"/>
        </w:rPr>
      </w:pPr>
      <w:r w:rsidRPr="009842DB">
        <w:rPr>
          <w:rFonts w:asciiTheme="majorHAnsi" w:hAnsiTheme="majorHAnsi" w:cstheme="majorHAnsi"/>
        </w:rPr>
        <w:t xml:space="preserve">L’évaluation de votre enfant s’appuie sur les </w:t>
      </w:r>
      <w:r w:rsidRPr="009842DB">
        <w:rPr>
          <w:rFonts w:asciiTheme="majorHAnsi" w:hAnsiTheme="majorHAnsi" w:cstheme="majorHAnsi"/>
          <w:i/>
        </w:rPr>
        <w:t>Cadres d’évaluation des apprentissages</w:t>
      </w:r>
      <w:r w:rsidRPr="009842DB">
        <w:rPr>
          <w:rFonts w:asciiTheme="majorHAnsi" w:hAnsiTheme="majorHAnsi" w:cstheme="majorHAnsi"/>
        </w:rPr>
        <w:t xml:space="preserve">. Ces derniers fournissent, pour chaque discipline du </w:t>
      </w:r>
      <w:r w:rsidRPr="009842DB">
        <w:rPr>
          <w:rFonts w:asciiTheme="majorHAnsi" w:hAnsiTheme="majorHAnsi" w:cstheme="majorHAnsi"/>
          <w:i/>
        </w:rPr>
        <w:t>Programme de formation de l’école québécoise</w:t>
      </w:r>
      <w:r w:rsidRPr="009842DB">
        <w:rPr>
          <w:rFonts w:asciiTheme="majorHAnsi" w:hAnsiTheme="majorHAnsi" w:cstheme="majorHAnsi"/>
        </w:rPr>
        <w:t>, les balises nécessaires à l’évaluation des apprentissages afin de constituer les résultats qui vous seront transmis au bulletin.</w:t>
      </w:r>
    </w:p>
    <w:p w14:paraId="6FF4C3F4" w14:textId="77777777" w:rsidR="009842DB" w:rsidRPr="009842DB" w:rsidRDefault="009842DB" w:rsidP="000D27AF">
      <w:pPr>
        <w:rPr>
          <w:rFonts w:asciiTheme="majorHAnsi" w:hAnsiTheme="majorHAnsi" w:cstheme="majorHAnsi"/>
        </w:rPr>
      </w:pPr>
      <w:r w:rsidRPr="009842DB">
        <w:rPr>
          <w:rFonts w:asciiTheme="majorHAnsi" w:hAnsiTheme="majorHAnsi" w:cstheme="majorHAnsi"/>
        </w:rPr>
        <w:t xml:space="preserve">Vous pouvez consulter les cadres d’évaluation du MÉES à l’adresse suivante : </w:t>
      </w:r>
    </w:p>
    <w:p w14:paraId="1C0E4A79" w14:textId="77777777" w:rsidR="009842DB" w:rsidRPr="009842DB" w:rsidRDefault="009842DB" w:rsidP="000D27AF">
      <w:pPr>
        <w:jc w:val="center"/>
        <w:rPr>
          <w:rFonts w:asciiTheme="majorHAnsi" w:hAnsiTheme="majorHAnsi" w:cstheme="majorHAnsi"/>
        </w:rPr>
      </w:pPr>
      <w:r w:rsidRPr="009842DB">
        <w:rPr>
          <w:rFonts w:asciiTheme="majorHAnsi" w:hAnsiTheme="majorHAnsi" w:cstheme="majorHAnsi"/>
        </w:rPr>
        <w:t>www.education.gouv.qc.ca</w:t>
      </w:r>
    </w:p>
    <w:p w14:paraId="6B4BCDE9" w14:textId="77777777" w:rsidR="009842DB" w:rsidRPr="000D27AF" w:rsidRDefault="009842DB" w:rsidP="000D27AF">
      <w:pPr>
        <w:rPr>
          <w:rFonts w:asciiTheme="majorHAnsi" w:hAnsiTheme="majorHAnsi" w:cstheme="majorHAnsi"/>
          <w:sz w:val="16"/>
        </w:rPr>
      </w:pPr>
    </w:p>
    <w:p w14:paraId="56274833" w14:textId="77777777" w:rsidR="009842DB" w:rsidRDefault="009842DB" w:rsidP="000D27AF">
      <w:pPr>
        <w:rPr>
          <w:rFonts w:asciiTheme="majorHAnsi" w:hAnsiTheme="majorHAnsi" w:cstheme="majorHAnsi"/>
        </w:rPr>
      </w:pPr>
      <w:r w:rsidRPr="009842DB">
        <w:rPr>
          <w:rFonts w:asciiTheme="majorHAnsi" w:hAnsiTheme="majorHAnsi" w:cstheme="majorHAnsi"/>
        </w:rPr>
        <w:t>Afin de constater l’acquisition des connaissances et le développement des compétences de votre enfant, l’enseignant portera son jugement à partir des travaux, des situations d’évaluation, des rapports de laboratoire, etc.</w:t>
      </w:r>
    </w:p>
    <w:p w14:paraId="3C099D60" w14:textId="77777777" w:rsidR="003567C2" w:rsidRDefault="003567C2" w:rsidP="000D27AF">
      <w:pPr>
        <w:rPr>
          <w:rFonts w:asciiTheme="majorHAnsi" w:hAnsiTheme="majorHAnsi" w:cstheme="majorHAnsi"/>
        </w:rPr>
      </w:pPr>
    </w:p>
    <w:p w14:paraId="57E74557" w14:textId="77777777" w:rsidR="003567C2" w:rsidRPr="003567C2" w:rsidRDefault="003567C2" w:rsidP="000D27AF">
      <w:pPr>
        <w:rPr>
          <w:rFonts w:asciiTheme="majorHAnsi" w:hAnsiTheme="majorHAnsi" w:cstheme="majorHAnsi"/>
          <w:sz w:val="28"/>
          <w:u w:val="single"/>
        </w:rPr>
      </w:pPr>
      <w:r w:rsidRPr="003567C2">
        <w:rPr>
          <w:rFonts w:asciiTheme="majorHAnsi" w:hAnsiTheme="majorHAnsi" w:cstheme="majorHAnsi"/>
          <w:sz w:val="28"/>
          <w:u w:val="single"/>
        </w:rPr>
        <w:t>Normes de promotion</w:t>
      </w:r>
    </w:p>
    <w:p w14:paraId="5E5BEFCC" w14:textId="77777777" w:rsidR="003567C2" w:rsidRPr="003567C2" w:rsidRDefault="003567C2" w:rsidP="003567C2">
      <w:pPr>
        <w:rPr>
          <w:rFonts w:asciiTheme="majorHAnsi" w:hAnsiTheme="majorHAnsi" w:cstheme="majorHAnsi"/>
        </w:rPr>
      </w:pPr>
      <w:r w:rsidRPr="003567C2">
        <w:rPr>
          <w:rFonts w:asciiTheme="majorHAnsi" w:hAnsiTheme="majorHAnsi" w:cstheme="majorHAnsi"/>
        </w:rPr>
        <w:t>La note de passage est de 60 %.</w:t>
      </w:r>
    </w:p>
    <w:p w14:paraId="080B531C" w14:textId="77777777" w:rsidR="003567C2" w:rsidRPr="003567C2" w:rsidRDefault="003567C2" w:rsidP="003567C2">
      <w:pPr>
        <w:rPr>
          <w:rFonts w:asciiTheme="majorHAnsi" w:hAnsiTheme="majorHAnsi" w:cstheme="majorHAnsi"/>
        </w:rPr>
      </w:pPr>
      <w:r w:rsidRPr="003567C2">
        <w:rPr>
          <w:rFonts w:asciiTheme="majorHAnsi" w:hAnsiTheme="majorHAnsi" w:cstheme="majorHAnsi"/>
        </w:rPr>
        <w:t>L’élève devra avoir cumulé au moins 26 unités de la 2e année du 2e cycle (4e secondaire) et réussir au moins 2 matières sur 3 parmi les suivantes : français, anglais, mathématique.</w:t>
      </w:r>
    </w:p>
    <w:p w14:paraId="357FFF29" w14:textId="77777777" w:rsidR="003567C2" w:rsidRPr="009C3B6B" w:rsidRDefault="003567C2" w:rsidP="003567C2">
      <w:pPr>
        <w:rPr>
          <w:rFonts w:asciiTheme="majorHAnsi" w:hAnsiTheme="majorHAnsi" w:cstheme="majorHAnsi"/>
        </w:rPr>
      </w:pPr>
      <w:r w:rsidRPr="003567C2">
        <w:rPr>
          <w:rFonts w:asciiTheme="majorHAnsi" w:hAnsiTheme="majorHAnsi" w:cstheme="majorHAnsi"/>
        </w:rPr>
        <w:t>À la suite d’une recommandation du comité de promotion, la direction pourra promouvoir un élève qui ne répond pas complètement à ces exigences.</w:t>
      </w:r>
    </w:p>
    <w:sectPr w:rsidR="003567C2" w:rsidRPr="009C3B6B" w:rsidSect="001523DA">
      <w:type w:val="continuous"/>
      <w:pgSz w:w="12240" w:h="15840" w:code="1"/>
      <w:pgMar w:top="567" w:right="720" w:bottom="720" w:left="720" w:header="720" w:footer="720"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9BEBF" w14:textId="77777777" w:rsidR="0026756A" w:rsidRDefault="0026756A" w:rsidP="0026756A">
      <w:r>
        <w:separator/>
      </w:r>
    </w:p>
  </w:endnote>
  <w:endnote w:type="continuationSeparator" w:id="0">
    <w:p w14:paraId="1A734BAD" w14:textId="77777777" w:rsidR="0026756A" w:rsidRDefault="0026756A" w:rsidP="002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EB2C7" w14:textId="77777777" w:rsidR="0026756A" w:rsidRPr="00526496" w:rsidRDefault="0026756A" w:rsidP="0026756A">
    <w:pPr>
      <w:pStyle w:val="Pieddepage"/>
      <w:pBdr>
        <w:top w:val="single" w:sz="4" w:space="0" w:color="auto"/>
      </w:pBdr>
      <w:spacing w:before="40"/>
      <w:jc w:val="center"/>
      <w:rPr>
        <w:rFonts w:ascii="Arial" w:hAnsi="Arial" w:cs="Arial"/>
        <w:sz w:val="8"/>
        <w:szCs w:val="8"/>
      </w:rPr>
    </w:pPr>
  </w:p>
  <w:p w14:paraId="04BD3FBB" w14:textId="77777777" w:rsidR="0026756A" w:rsidRPr="00DE36AD" w:rsidRDefault="0026756A" w:rsidP="0026756A">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Rivière-à-Veillet, Sainte-Geneviève-de-Batiscan (Québec) G0X 2R0 </w:t>
    </w:r>
    <w:r w:rsidRPr="00DE36AD">
      <w:rPr>
        <w:rFonts w:ascii="Arial" w:hAnsi="Arial" w:cs="Arial"/>
        <w:sz w:val="16"/>
        <w:szCs w:val="16"/>
      </w:rPr>
      <w:t>●</w:t>
    </w:r>
  </w:p>
  <w:p w14:paraId="6B42AEB1" w14:textId="43690994" w:rsidR="0026756A" w:rsidRPr="00E97850" w:rsidRDefault="0026756A" w:rsidP="0026756A">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8232AA" w:rsidRPr="008232AA">
        <w:rPr>
          <w:rStyle w:val="Hyperlien"/>
          <w:sz w:val="18"/>
          <w:szCs w:val="18"/>
        </w:rPr>
        <w:t>ecletremplin@csscdr.gouv.qc.ca</w:t>
      </w:r>
    </w:hyperlink>
    <w:r w:rsidR="008232AA">
      <w:t xml:space="preserve"> </w:t>
    </w:r>
    <w:r>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391B" w14:textId="77777777" w:rsidR="00AC60B1" w:rsidRPr="00526496" w:rsidRDefault="00AC60B1" w:rsidP="00AC60B1">
    <w:pPr>
      <w:pStyle w:val="Pieddepage"/>
      <w:pBdr>
        <w:top w:val="single" w:sz="4" w:space="0" w:color="auto"/>
      </w:pBdr>
      <w:spacing w:before="40"/>
      <w:jc w:val="center"/>
      <w:rPr>
        <w:rFonts w:ascii="Arial" w:hAnsi="Arial" w:cs="Arial"/>
        <w:sz w:val="8"/>
        <w:szCs w:val="8"/>
      </w:rPr>
    </w:pPr>
  </w:p>
  <w:p w14:paraId="0398ADD5" w14:textId="77777777" w:rsidR="00AC60B1" w:rsidRPr="00DE36AD" w:rsidRDefault="00AC60B1" w:rsidP="00AC60B1">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Rivière-à-Veillet, Sainte-Geneviève-de-Batiscan (Québec) G0X 2R0 </w:t>
    </w:r>
    <w:r w:rsidRPr="00DE36AD">
      <w:rPr>
        <w:rFonts w:ascii="Arial" w:hAnsi="Arial" w:cs="Arial"/>
        <w:sz w:val="16"/>
        <w:szCs w:val="16"/>
      </w:rPr>
      <w:t>●</w:t>
    </w:r>
  </w:p>
  <w:p w14:paraId="135182DF" w14:textId="50BE8976" w:rsidR="00AC60B1" w:rsidRPr="00E97850" w:rsidRDefault="00AC60B1" w:rsidP="00AC60B1">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8232AA" w:rsidRPr="008232AA">
        <w:rPr>
          <w:rStyle w:val="Hyperlien"/>
          <w:sz w:val="18"/>
          <w:szCs w:val="18"/>
        </w:rPr>
        <w:t>ecletremplin@csscdr.gouv.qc.ca</w:t>
      </w:r>
    </w:hyperlink>
    <w:r w:rsidR="008232AA">
      <w:t xml:space="preserve"> </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F77F7" w14:textId="77777777" w:rsidR="0026756A" w:rsidRDefault="0026756A" w:rsidP="0026756A">
      <w:r>
        <w:separator/>
      </w:r>
    </w:p>
  </w:footnote>
  <w:footnote w:type="continuationSeparator" w:id="0">
    <w:p w14:paraId="0D05E95E" w14:textId="77777777" w:rsidR="0026756A" w:rsidRDefault="0026756A" w:rsidP="0026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CDCA" w14:textId="77777777" w:rsidR="00AC60B1" w:rsidRDefault="00AC60B1">
    <w:pPr>
      <w:pStyle w:val="En-tte"/>
    </w:pPr>
    <w:r>
      <w:rPr>
        <w:rFonts w:ascii="Century Gothic" w:hAnsi="Century Gothic"/>
        <w:noProof/>
        <w:color w:val="0B0632"/>
        <w:sz w:val="12"/>
        <w:lang w:eastAsia="fr-CA"/>
      </w:rPr>
      <w:drawing>
        <wp:anchor distT="0" distB="0" distL="114300" distR="114300" simplePos="0" relativeHeight="251660288" behindDoc="0" locked="0" layoutInCell="1" allowOverlap="1" wp14:anchorId="4EBAB8AF" wp14:editId="6C4BF0BB">
          <wp:simplePos x="0" y="0"/>
          <wp:positionH relativeFrom="column">
            <wp:posOffset>0</wp:posOffset>
          </wp:positionH>
          <wp:positionV relativeFrom="paragraph">
            <wp:posOffset>-93980</wp:posOffset>
          </wp:positionV>
          <wp:extent cx="1243965" cy="891540"/>
          <wp:effectExtent l="0" t="0" r="0" b="0"/>
          <wp:wrapNone/>
          <wp:docPr id="180" name="Imag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85F2A00" wp14:editId="35DB036A">
          <wp:simplePos x="0" y="0"/>
          <wp:positionH relativeFrom="column">
            <wp:posOffset>5401310</wp:posOffset>
          </wp:positionH>
          <wp:positionV relativeFrom="paragraph">
            <wp:posOffset>163416</wp:posOffset>
          </wp:positionV>
          <wp:extent cx="1631548" cy="631825"/>
          <wp:effectExtent l="0" t="0" r="6985" b="0"/>
          <wp:wrapNone/>
          <wp:docPr id="181" name="Image 181" descr="cid:image001.jpg@01D642ED.A73CC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id:image001.jpg@01D642ED.A73CCB7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1548"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E3"/>
    <w:multiLevelType w:val="hybridMultilevel"/>
    <w:tmpl w:val="0F0A3676"/>
    <w:lvl w:ilvl="0" w:tplc="F934F9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0950050"/>
    <w:multiLevelType w:val="hybridMultilevel"/>
    <w:tmpl w:val="11E8475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6B4271"/>
    <w:multiLevelType w:val="hybridMultilevel"/>
    <w:tmpl w:val="528ACA76"/>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104ECD"/>
    <w:multiLevelType w:val="hybridMultilevel"/>
    <w:tmpl w:val="A66AC716"/>
    <w:lvl w:ilvl="0" w:tplc="C5D28A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88690348">
    <w:abstractNumId w:val="0"/>
  </w:num>
  <w:num w:numId="2" w16cid:durableId="113520935">
    <w:abstractNumId w:val="3"/>
  </w:num>
  <w:num w:numId="3" w16cid:durableId="953712196">
    <w:abstractNumId w:val="1"/>
  </w:num>
  <w:num w:numId="4" w16cid:durableId="874774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6A"/>
    <w:rsid w:val="00012BDF"/>
    <w:rsid w:val="000B4B84"/>
    <w:rsid w:val="000D27AF"/>
    <w:rsid w:val="000E38E5"/>
    <w:rsid w:val="001523DA"/>
    <w:rsid w:val="00155A75"/>
    <w:rsid w:val="001B0846"/>
    <w:rsid w:val="0026756A"/>
    <w:rsid w:val="00280BCC"/>
    <w:rsid w:val="003105B6"/>
    <w:rsid w:val="00326602"/>
    <w:rsid w:val="00341EAF"/>
    <w:rsid w:val="003567C2"/>
    <w:rsid w:val="004262EA"/>
    <w:rsid w:val="005E2F16"/>
    <w:rsid w:val="00604680"/>
    <w:rsid w:val="00637AB6"/>
    <w:rsid w:val="006F5F7E"/>
    <w:rsid w:val="008232AA"/>
    <w:rsid w:val="00831329"/>
    <w:rsid w:val="00891746"/>
    <w:rsid w:val="009842DB"/>
    <w:rsid w:val="00992B10"/>
    <w:rsid w:val="009C3B6B"/>
    <w:rsid w:val="00AC60B1"/>
    <w:rsid w:val="00AF6F64"/>
    <w:rsid w:val="00B04E56"/>
    <w:rsid w:val="00BB1707"/>
    <w:rsid w:val="00D84394"/>
    <w:rsid w:val="00DA485D"/>
    <w:rsid w:val="00DD1D8F"/>
    <w:rsid w:val="00DE0693"/>
    <w:rsid w:val="00E5051A"/>
    <w:rsid w:val="00E84DD4"/>
    <w:rsid w:val="00EB7FD5"/>
    <w:rsid w:val="00EC456C"/>
    <w:rsid w:val="00EC52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294B53"/>
  <w15:chartTrackingRefBased/>
  <w15:docId w15:val="{600370D3-868B-4A13-8587-C5DCDCD5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6A"/>
    <w:rPr>
      <w:rFonts w:ascii="Microsoft Sans Serif" w:eastAsia="Times New Roman" w:hAnsi="Microsoft Sans Serif" w:cs="Times New Roman"/>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56A"/>
    <w:pPr>
      <w:tabs>
        <w:tab w:val="center" w:pos="4320"/>
        <w:tab w:val="right" w:pos="8640"/>
      </w:tabs>
    </w:pPr>
  </w:style>
  <w:style w:type="character" w:customStyle="1" w:styleId="En-tteCar">
    <w:name w:val="En-tête Car"/>
    <w:basedOn w:val="Policepardfaut"/>
    <w:link w:val="En-tte"/>
    <w:uiPriority w:val="99"/>
    <w:rsid w:val="0026756A"/>
    <w:rPr>
      <w:rFonts w:ascii="Microsoft Sans Serif" w:eastAsia="Times New Roman" w:hAnsi="Microsoft Sans Serif" w:cs="Times New Roman"/>
      <w:sz w:val="22"/>
      <w:szCs w:val="20"/>
    </w:rPr>
  </w:style>
  <w:style w:type="paragraph" w:styleId="Pieddepage">
    <w:name w:val="footer"/>
    <w:basedOn w:val="Normal"/>
    <w:link w:val="PieddepageCar"/>
    <w:uiPriority w:val="99"/>
    <w:unhideWhenUsed/>
    <w:rsid w:val="0026756A"/>
    <w:pPr>
      <w:tabs>
        <w:tab w:val="center" w:pos="4320"/>
        <w:tab w:val="right" w:pos="8640"/>
      </w:tabs>
    </w:pPr>
  </w:style>
  <w:style w:type="character" w:customStyle="1" w:styleId="PieddepageCar">
    <w:name w:val="Pied de page Car"/>
    <w:basedOn w:val="Policepardfaut"/>
    <w:link w:val="Pieddepage"/>
    <w:uiPriority w:val="99"/>
    <w:rsid w:val="0026756A"/>
    <w:rPr>
      <w:rFonts w:ascii="Microsoft Sans Serif" w:eastAsia="Times New Roman" w:hAnsi="Microsoft Sans Serif" w:cs="Times New Roman"/>
      <w:sz w:val="22"/>
      <w:szCs w:val="20"/>
    </w:rPr>
  </w:style>
  <w:style w:type="character" w:styleId="Hyperlien">
    <w:name w:val="Hyperlink"/>
    <w:basedOn w:val="Policepardfaut"/>
    <w:uiPriority w:val="99"/>
    <w:unhideWhenUsed/>
    <w:rsid w:val="0026756A"/>
    <w:rPr>
      <w:color w:val="0563C1" w:themeColor="hyperlink"/>
      <w:u w:val="single"/>
    </w:rPr>
  </w:style>
  <w:style w:type="table" w:styleId="Grilledutableau">
    <w:name w:val="Table Grid"/>
    <w:basedOn w:val="TableauNormal"/>
    <w:uiPriority w:val="59"/>
    <w:rsid w:val="00EB7FD5"/>
    <w:pPr>
      <w:jc w:val="center"/>
    </w:pPr>
    <w:rPr>
      <w:rFonts w:ascii="Microsoft Sans Serif" w:eastAsia="Times New Roman" w:hAnsi="Microsoft Sans Serif"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F7E"/>
    <w:pPr>
      <w:spacing w:after="160" w:line="259" w:lineRule="auto"/>
      <w:ind w:left="720"/>
      <w:contextualSpacing/>
    </w:pPr>
    <w:rPr>
      <w:rFonts w:asciiTheme="minorHAnsi" w:eastAsiaTheme="minorHAnsi" w:hAnsiTheme="minorHAnsi" w:cstheme="minorBidi"/>
      <w:szCs w:val="22"/>
    </w:rPr>
  </w:style>
  <w:style w:type="character" w:styleId="Mentionnonrsolue">
    <w:name w:val="Unresolved Mention"/>
    <w:basedOn w:val="Policepardfaut"/>
    <w:uiPriority w:val="99"/>
    <w:semiHidden/>
    <w:unhideWhenUsed/>
    <w:rsid w:val="00823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6432C.3AF44F8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Commission Scolaire du Chemin du Roy</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Bordeleau</dc:creator>
  <cp:keywords/>
  <dc:description/>
  <cp:lastModifiedBy>Desfossés, France</cp:lastModifiedBy>
  <cp:revision>13</cp:revision>
  <dcterms:created xsi:type="dcterms:W3CDTF">2023-09-01T17:51:00Z</dcterms:created>
  <dcterms:modified xsi:type="dcterms:W3CDTF">2024-08-08T14:01:00Z</dcterms:modified>
</cp:coreProperties>
</file>